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6"/>
        <w:ind w:left="100" w:right="0" w:firstLine="0"/>
        <w:jc w:val="left"/>
        <w:rPr>
          <w:b/>
          <w:sz w:val="46"/>
        </w:rPr>
      </w:pPr>
      <w:r>
        <w:rPr/>
        <w:pict>
          <v:group style="position:absolute;margin-left:0pt;margin-top:0pt;width:352.1pt;height:360pt;mso-position-horizontal-relative:page;mso-position-vertical-relative:page;z-index:-1840" coordorigin="0,0" coordsize="7042,7200">
            <v:rect style="position:absolute;left:30;top:30;width:6982;height:7140" filled="false" stroked="true" strokeweight="3pt" strokecolor="#231f20">
              <v:stroke dashstyle="solid"/>
            </v:rect>
            <v:shape style="position:absolute;left:4200;top:6172;width:2362;height:748" type="#_x0000_t75" stroked="false">
              <v:imagedata r:id="rId5" o:title=""/>
            </v:shape>
            <w10:wrap type="none"/>
          </v:group>
        </w:pict>
      </w:r>
      <w:r>
        <w:rPr>
          <w:b/>
          <w:color w:val="231F20"/>
          <w:sz w:val="46"/>
        </w:rPr>
        <w:t>Public Notice</w:t>
      </w:r>
    </w:p>
    <w:p>
      <w:pPr>
        <w:pStyle w:val="BodyText"/>
        <w:spacing w:line="235" w:lineRule="auto" w:before="50"/>
        <w:ind w:right="331"/>
      </w:pPr>
      <w:r>
        <w:rPr>
          <w:color w:val="231F20"/>
          <w:w w:val="105"/>
        </w:rPr>
        <w:t>Oregon State University is accredited by the Northwest Commission on Colleges and Universities (NWCCU), a regional accreditation agencies recognized by the Council for Higher Education Accreditation. As part of</w:t>
      </w:r>
      <w:r>
        <w:rPr>
          <w:color w:val="231F20"/>
          <w:spacing w:val="-4"/>
          <w:w w:val="105"/>
        </w:rPr>
        <w:t> </w:t>
      </w:r>
      <w:r>
        <w:rPr>
          <w:color w:val="231F20"/>
          <w:w w:val="105"/>
        </w:rPr>
        <w:t>the</w:t>
      </w:r>
      <w:r>
        <w:rPr>
          <w:color w:val="231F20"/>
          <w:spacing w:val="-4"/>
          <w:w w:val="105"/>
        </w:rPr>
        <w:t> </w:t>
      </w:r>
      <w:r>
        <w:rPr>
          <w:color w:val="231F20"/>
          <w:w w:val="105"/>
        </w:rPr>
        <w:t>ongoing</w:t>
      </w:r>
      <w:r>
        <w:rPr>
          <w:color w:val="231F20"/>
          <w:spacing w:val="-4"/>
          <w:w w:val="105"/>
        </w:rPr>
        <w:t> </w:t>
      </w:r>
      <w:r>
        <w:rPr>
          <w:color w:val="231F20"/>
          <w:w w:val="105"/>
        </w:rPr>
        <w:t>accreditation</w:t>
      </w:r>
      <w:r>
        <w:rPr>
          <w:color w:val="231F20"/>
          <w:spacing w:val="-4"/>
          <w:w w:val="105"/>
        </w:rPr>
        <w:t> </w:t>
      </w:r>
      <w:r>
        <w:rPr>
          <w:color w:val="231F20"/>
          <w:w w:val="105"/>
        </w:rPr>
        <w:t>process,</w:t>
      </w:r>
      <w:r>
        <w:rPr>
          <w:color w:val="231F20"/>
          <w:spacing w:val="-4"/>
          <w:w w:val="105"/>
        </w:rPr>
        <w:t> </w:t>
      </w:r>
      <w:r>
        <w:rPr>
          <w:color w:val="231F20"/>
          <w:w w:val="105"/>
        </w:rPr>
        <w:t>OSU</w:t>
      </w:r>
      <w:r>
        <w:rPr>
          <w:color w:val="231F20"/>
          <w:spacing w:val="-4"/>
          <w:w w:val="105"/>
        </w:rPr>
        <w:t> </w:t>
      </w:r>
      <w:r>
        <w:rPr>
          <w:color w:val="231F20"/>
          <w:w w:val="105"/>
        </w:rPr>
        <w:t>is</w:t>
      </w:r>
      <w:r>
        <w:rPr>
          <w:color w:val="231F20"/>
          <w:spacing w:val="-3"/>
          <w:w w:val="105"/>
        </w:rPr>
        <w:t> </w:t>
      </w:r>
      <w:r>
        <w:rPr>
          <w:color w:val="231F20"/>
          <w:w w:val="105"/>
        </w:rPr>
        <w:t>scheduled</w:t>
      </w:r>
      <w:r>
        <w:rPr>
          <w:color w:val="231F20"/>
          <w:spacing w:val="-4"/>
          <w:w w:val="105"/>
        </w:rPr>
        <w:t> </w:t>
      </w:r>
      <w:r>
        <w:rPr>
          <w:color w:val="231F20"/>
          <w:w w:val="105"/>
        </w:rPr>
        <w:t>to</w:t>
      </w:r>
      <w:r>
        <w:rPr>
          <w:color w:val="231F20"/>
          <w:spacing w:val="-4"/>
          <w:w w:val="105"/>
        </w:rPr>
        <w:t> </w:t>
      </w:r>
      <w:r>
        <w:rPr>
          <w:color w:val="231F20"/>
          <w:w w:val="105"/>
        </w:rPr>
        <w:t>submit</w:t>
      </w:r>
      <w:r>
        <w:rPr>
          <w:color w:val="231F20"/>
          <w:spacing w:val="-4"/>
          <w:w w:val="105"/>
        </w:rPr>
        <w:t> </w:t>
      </w:r>
      <w:r>
        <w:rPr>
          <w:color w:val="231F20"/>
          <w:w w:val="105"/>
        </w:rPr>
        <w:t>a</w:t>
      </w:r>
      <w:r>
        <w:rPr>
          <w:color w:val="231F20"/>
          <w:spacing w:val="-4"/>
          <w:w w:val="105"/>
        </w:rPr>
        <w:t> </w:t>
      </w:r>
      <w:r>
        <w:rPr>
          <w:color w:val="231F20"/>
          <w:spacing w:val="-5"/>
          <w:w w:val="105"/>
        </w:rPr>
        <w:t>Year </w:t>
      </w:r>
      <w:r>
        <w:rPr>
          <w:color w:val="231F20"/>
          <w:w w:val="105"/>
        </w:rPr>
        <w:t>Seven</w:t>
      </w:r>
      <w:r>
        <w:rPr>
          <w:color w:val="231F20"/>
          <w:spacing w:val="-4"/>
          <w:w w:val="105"/>
        </w:rPr>
        <w:t> </w:t>
      </w:r>
      <w:r>
        <w:rPr>
          <w:color w:val="231F20"/>
          <w:w w:val="105"/>
        </w:rPr>
        <w:t>Self-Evaluation</w:t>
      </w:r>
      <w:r>
        <w:rPr>
          <w:color w:val="231F20"/>
          <w:spacing w:val="-4"/>
          <w:w w:val="105"/>
        </w:rPr>
        <w:t> </w:t>
      </w:r>
      <w:r>
        <w:rPr>
          <w:color w:val="231F20"/>
          <w:w w:val="105"/>
        </w:rPr>
        <w:t>Report</w:t>
      </w:r>
      <w:r>
        <w:rPr>
          <w:color w:val="231F20"/>
          <w:spacing w:val="-4"/>
          <w:w w:val="105"/>
        </w:rPr>
        <w:t> </w:t>
      </w:r>
      <w:r>
        <w:rPr>
          <w:color w:val="231F20"/>
          <w:w w:val="105"/>
        </w:rPr>
        <w:t>to</w:t>
      </w:r>
      <w:r>
        <w:rPr>
          <w:color w:val="231F20"/>
          <w:spacing w:val="-4"/>
          <w:w w:val="105"/>
        </w:rPr>
        <w:t> </w:t>
      </w:r>
      <w:r>
        <w:rPr>
          <w:color w:val="231F20"/>
          <w:w w:val="105"/>
        </w:rPr>
        <w:t>the</w:t>
      </w:r>
      <w:r>
        <w:rPr>
          <w:color w:val="231F20"/>
          <w:spacing w:val="-4"/>
          <w:w w:val="105"/>
        </w:rPr>
        <w:t> </w:t>
      </w:r>
      <w:r>
        <w:rPr>
          <w:color w:val="231F20"/>
          <w:w w:val="105"/>
        </w:rPr>
        <w:t>NWCCU</w:t>
      </w:r>
      <w:r>
        <w:rPr>
          <w:color w:val="231F20"/>
          <w:spacing w:val="-4"/>
          <w:w w:val="105"/>
        </w:rPr>
        <w:t> </w:t>
      </w:r>
      <w:r>
        <w:rPr>
          <w:color w:val="231F20"/>
          <w:w w:val="105"/>
        </w:rPr>
        <w:t>and</w:t>
      </w:r>
      <w:r>
        <w:rPr>
          <w:color w:val="231F20"/>
          <w:spacing w:val="-4"/>
          <w:w w:val="105"/>
        </w:rPr>
        <w:t> </w:t>
      </w:r>
      <w:r>
        <w:rPr>
          <w:color w:val="231F20"/>
          <w:w w:val="105"/>
        </w:rPr>
        <w:t>host</w:t>
      </w:r>
      <w:r>
        <w:rPr>
          <w:color w:val="231F20"/>
          <w:spacing w:val="-4"/>
          <w:w w:val="105"/>
        </w:rPr>
        <w:t> </w:t>
      </w:r>
      <w:r>
        <w:rPr>
          <w:color w:val="231F20"/>
          <w:w w:val="105"/>
        </w:rPr>
        <w:t>a</w:t>
      </w:r>
      <w:r>
        <w:rPr>
          <w:color w:val="231F20"/>
          <w:spacing w:val="-4"/>
          <w:w w:val="105"/>
        </w:rPr>
        <w:t> </w:t>
      </w:r>
      <w:r>
        <w:rPr>
          <w:color w:val="231F20"/>
          <w:w w:val="105"/>
        </w:rPr>
        <w:t>site</w:t>
      </w:r>
      <w:r>
        <w:rPr>
          <w:color w:val="231F20"/>
          <w:spacing w:val="-4"/>
          <w:w w:val="105"/>
        </w:rPr>
        <w:t> </w:t>
      </w:r>
      <w:r>
        <w:rPr>
          <w:color w:val="231F20"/>
          <w:w w:val="105"/>
        </w:rPr>
        <w:t>visit</w:t>
      </w:r>
      <w:r>
        <w:rPr>
          <w:color w:val="231F20"/>
          <w:spacing w:val="-3"/>
          <w:w w:val="105"/>
        </w:rPr>
        <w:t> </w:t>
      </w:r>
      <w:r>
        <w:rPr>
          <w:color w:val="231F20"/>
          <w:w w:val="105"/>
        </w:rPr>
        <w:t>of</w:t>
      </w:r>
      <w:r>
        <w:rPr>
          <w:color w:val="231F20"/>
          <w:spacing w:val="-4"/>
          <w:w w:val="105"/>
        </w:rPr>
        <w:t> </w:t>
      </w:r>
      <w:r>
        <w:rPr>
          <w:color w:val="231F20"/>
          <w:w w:val="105"/>
        </w:rPr>
        <w:t>peer evaluators from April 15-17,</w:t>
      </w:r>
      <w:r>
        <w:rPr>
          <w:color w:val="231F20"/>
          <w:spacing w:val="-24"/>
          <w:w w:val="105"/>
        </w:rPr>
        <w:t> </w:t>
      </w:r>
      <w:r>
        <w:rPr>
          <w:color w:val="231F20"/>
          <w:w w:val="105"/>
        </w:rPr>
        <w:t>2019.</w:t>
      </w:r>
    </w:p>
    <w:p>
      <w:pPr>
        <w:pStyle w:val="BodyText"/>
        <w:spacing w:line="235" w:lineRule="auto"/>
        <w:ind w:right="231"/>
      </w:pPr>
      <w:r>
        <w:rPr>
          <w:color w:val="231F20"/>
          <w:w w:val="105"/>
        </w:rPr>
        <w:t>Accreditation by the NWCCU represents the Commission’s judgment that an institution is satisfactorily achieving its mission and educational purposes and that it meets or exceed the Commission’s standards of quality and effectiveness. OSU has been continuously accredited by the NWCCU since 1924, having been most recently reaffirmed Spring 2011.</w:t>
      </w:r>
    </w:p>
    <w:p>
      <w:pPr>
        <w:pStyle w:val="BodyText"/>
        <w:spacing w:line="235" w:lineRule="auto"/>
        <w:ind w:right="210"/>
      </w:pPr>
      <w:r>
        <w:rPr>
          <w:color w:val="231F20"/>
          <w:w w:val="105"/>
        </w:rPr>
        <w:t>As part of the review process, OSU invites the public to send comments regard the institution’s qualification for accreditation and/or its efforts to achieve mission fulfillment directly to the NWCCU. Signed, written comments should be mailed to the Northwest Commission on Colleges and Universities at 8060 165th Avenue, Suite 100, Redmond, WA 98052- 3981 no later than March 15, 2019.</w:t>
      </w:r>
    </w:p>
    <w:p>
      <w:pPr>
        <w:pStyle w:val="BodyText"/>
        <w:spacing w:line="235" w:lineRule="auto"/>
      </w:pPr>
      <w:r>
        <w:rPr>
          <w:color w:val="231F20"/>
          <w:w w:val="105"/>
        </w:rPr>
        <w:t>To obtain a copy of Commission Policy A-5, Public Notification and Third- Party Comments Regarding Full-Scale Evaluations, contact the NWCCU office at 425-558-4224 or visit their website at </w:t>
      </w:r>
      <w:hyperlink r:id="rId6">
        <w:r>
          <w:rPr>
            <w:color w:val="231F20"/>
            <w:w w:val="105"/>
          </w:rPr>
          <w:t>www.nwccu.org </w:t>
        </w:r>
      </w:hyperlink>
      <w:r>
        <w:rPr>
          <w:color w:val="231F20"/>
          <w:w w:val="105"/>
        </w:rPr>
        <w:t>(Standards and Policies and the Operational Policies).</w:t>
      </w:r>
    </w:p>
    <w:p>
      <w:pPr>
        <w:spacing w:before="135"/>
        <w:ind w:left="100" w:right="0" w:firstLine="0"/>
        <w:jc w:val="left"/>
        <w:rPr>
          <w:sz w:val="18"/>
        </w:rPr>
      </w:pPr>
      <w:r>
        <w:rPr>
          <w:color w:val="231F20"/>
          <w:sz w:val="18"/>
        </w:rPr>
        <w:t>January 11, 2019</w:t>
      </w:r>
    </w:p>
    <w:sectPr>
      <w:type w:val="continuous"/>
      <w:pgSz w:w="7050" w:h="7200"/>
      <w:pgMar w:top="160" w:bottom="280" w:left="3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44"/>
      <w:ind w:left="100" w:right="37"/>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nw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2019-02-01T00:35:21Z</dcterms:created>
  <dcterms:modified xsi:type="dcterms:W3CDTF">2019-02-01T00:35:21Z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CC 14.0 (Macintosh)</vt:lpwstr>
  </property>
  <property fmtid="{D5CDD505-2E9C-101B-9397-08002B2CF9AE}" pid="4" name="LastSaved">
    <vt:filetime>2019-02-01T00:00:00Z</vt:filetime>
  </property>
</Properties>
</file>