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A17E0" w14:textId="71BF0F12" w:rsidR="007979B7" w:rsidRDefault="007979B7" w:rsidP="00673750">
      <w:pPr>
        <w:spacing w:after="240"/>
      </w:pPr>
      <w:r w:rsidRPr="00224838">
        <w:rPr>
          <w:noProof/>
        </w:rPr>
        <w:drawing>
          <wp:anchor distT="0" distB="0" distL="114300" distR="114300" simplePos="0" relativeHeight="251659264" behindDoc="0" locked="0" layoutInCell="1" allowOverlap="1" wp14:anchorId="49B229DD" wp14:editId="52FCD4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7514" cy="802852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U_horizontal_2C_O_over_B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514" cy="802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C1785" w14:textId="4879F4C8" w:rsidR="007979B7" w:rsidRDefault="007979B7" w:rsidP="00673750">
      <w:pPr>
        <w:spacing w:after="240"/>
      </w:pPr>
    </w:p>
    <w:p w14:paraId="09B07740" w14:textId="51DB7684" w:rsidR="007979B7" w:rsidRDefault="007979B7" w:rsidP="00673750">
      <w:pPr>
        <w:spacing w:after="240"/>
      </w:pPr>
    </w:p>
    <w:p w14:paraId="6B5E7C7E" w14:textId="77777777" w:rsidR="007979B7" w:rsidRDefault="007979B7" w:rsidP="00673750">
      <w:pPr>
        <w:spacing w:after="240"/>
      </w:pPr>
      <w:bookmarkStart w:id="0" w:name="_GoBack"/>
      <w:bookmarkEnd w:id="0"/>
    </w:p>
    <w:p w14:paraId="3A4A459C" w14:textId="7B62B73A" w:rsidR="007979B7" w:rsidRDefault="007979B7" w:rsidP="00673750">
      <w:pPr>
        <w:spacing w:after="240"/>
      </w:pPr>
      <w:r>
        <w:t>October 31, 2017</w:t>
      </w:r>
    </w:p>
    <w:p w14:paraId="1ED13751" w14:textId="1B978422" w:rsidR="005E7E6F" w:rsidRDefault="005E7E6F" w:rsidP="00673750">
      <w:pPr>
        <w:spacing w:after="240"/>
      </w:pPr>
      <w:r>
        <w:t xml:space="preserve">To Oregon State University </w:t>
      </w:r>
      <w:r w:rsidR="00EA5286">
        <w:t>f</w:t>
      </w:r>
      <w:r>
        <w:t xml:space="preserve">aculty and </w:t>
      </w:r>
      <w:r w:rsidR="00EA5286">
        <w:t>s</w:t>
      </w:r>
      <w:r>
        <w:t>taff</w:t>
      </w:r>
      <w:r w:rsidR="00EA5286">
        <w:t>,</w:t>
      </w:r>
    </w:p>
    <w:p w14:paraId="4C84595F" w14:textId="6C39F48C" w:rsidR="005E7E6F" w:rsidRDefault="001F1733" w:rsidP="00673750">
      <w:pPr>
        <w:spacing w:after="240"/>
      </w:pPr>
      <w:r>
        <w:t xml:space="preserve">Past state budgeting rules prohibiting the use of operating funds for capital purposes, combined with limited resources, </w:t>
      </w:r>
      <w:r w:rsidR="00B36732">
        <w:t xml:space="preserve">have </w:t>
      </w:r>
      <w:r w:rsidR="00CD45EC">
        <w:t>result</w:t>
      </w:r>
      <w:r>
        <w:t>ed</w:t>
      </w:r>
      <w:r w:rsidR="00CD45EC">
        <w:t xml:space="preserve"> in a significant backlog in needed capital improvements</w:t>
      </w:r>
      <w:r w:rsidR="00151A33">
        <w:t>.</w:t>
      </w:r>
      <w:r w:rsidR="00CD45EC">
        <w:t xml:space="preserve"> Sightlines, a </w:t>
      </w:r>
      <w:r w:rsidR="00316BAC">
        <w:t xml:space="preserve">facilities </w:t>
      </w:r>
      <w:r w:rsidR="005B6DDE">
        <w:t>analysis</w:t>
      </w:r>
      <w:r w:rsidR="00261DC9">
        <w:t xml:space="preserve"> </w:t>
      </w:r>
      <w:r w:rsidR="005E7E6F">
        <w:t>firm,</w:t>
      </w:r>
      <w:r w:rsidR="00CD45EC">
        <w:t xml:space="preserve"> </w:t>
      </w:r>
      <w:r w:rsidR="00E23E0F">
        <w:t xml:space="preserve">estimates </w:t>
      </w:r>
      <w:r w:rsidR="00CF0860">
        <w:t xml:space="preserve">it would cost $650 million to fully address </w:t>
      </w:r>
      <w:r w:rsidR="00B36732">
        <w:t>OSU’s</w:t>
      </w:r>
      <w:r w:rsidR="00CF0860">
        <w:t xml:space="preserve"> deferred maintenance </w:t>
      </w:r>
      <w:r w:rsidR="00B36732">
        <w:t>backlog</w:t>
      </w:r>
      <w:r w:rsidR="00CD45EC">
        <w:t xml:space="preserve">, </w:t>
      </w:r>
      <w:r w:rsidR="00E81ED4">
        <w:t>w</w:t>
      </w:r>
      <w:r w:rsidR="00CD45EC">
        <w:t xml:space="preserve">ith a further </w:t>
      </w:r>
      <w:r w:rsidR="00EA5286">
        <w:t>$</w:t>
      </w:r>
      <w:r w:rsidR="00391CD2">
        <w:t xml:space="preserve">350 </w:t>
      </w:r>
      <w:r w:rsidR="00EA5286">
        <w:t xml:space="preserve">million </w:t>
      </w:r>
      <w:r w:rsidR="00CF0860">
        <w:t xml:space="preserve">required to </w:t>
      </w:r>
      <w:r w:rsidR="00CD45EC">
        <w:t xml:space="preserve">implement </w:t>
      </w:r>
      <w:r w:rsidR="00CF0860">
        <w:t xml:space="preserve">recommended </w:t>
      </w:r>
      <w:r w:rsidR="00C75C6D">
        <w:t xml:space="preserve">life safety and </w:t>
      </w:r>
      <w:r w:rsidR="005E7E6F">
        <w:t>seismic upgrades</w:t>
      </w:r>
      <w:r w:rsidR="00EA5286">
        <w:t>.</w:t>
      </w:r>
      <w:r w:rsidR="00261DC9">
        <w:t xml:space="preserve"> We write to update you on the University’s work</w:t>
      </w:r>
      <w:r w:rsidR="00B36732">
        <w:t xml:space="preserve"> to address this serious problem</w:t>
      </w:r>
      <w:r w:rsidR="00EA5286">
        <w:t>.</w:t>
      </w:r>
    </w:p>
    <w:p w14:paraId="2440CB55" w14:textId="6F1B08AB" w:rsidR="00CF0860" w:rsidRDefault="005E7E6F" w:rsidP="00673750">
      <w:pPr>
        <w:spacing w:after="240"/>
      </w:pPr>
      <w:r w:rsidRPr="00673750">
        <w:t xml:space="preserve">In spring of 2016, </w:t>
      </w:r>
      <w:r w:rsidR="009B76CA" w:rsidRPr="00673750">
        <w:t xml:space="preserve">the Provost and the Vice President for Finance and Administration partnered to establish </w:t>
      </w:r>
      <w:r w:rsidR="00CD45EC" w:rsidRPr="00673750">
        <w:t>an</w:t>
      </w:r>
      <w:r w:rsidRPr="00673750">
        <w:t xml:space="preserve"> Infrastructure Working Group </w:t>
      </w:r>
      <w:r w:rsidR="007C1264" w:rsidRPr="00673750">
        <w:t xml:space="preserve">(IWG) </w:t>
      </w:r>
      <w:r w:rsidR="00CF0860">
        <w:t xml:space="preserve">consisting </w:t>
      </w:r>
      <w:r w:rsidR="00CF0860" w:rsidRPr="00557252">
        <w:t>of representatives from the Provost’s Council, University Housing and Dining,</w:t>
      </w:r>
      <w:r w:rsidR="00CF0860">
        <w:t xml:space="preserve"> and Athletics, and assisted by the </w:t>
      </w:r>
      <w:r w:rsidR="00DF7F87">
        <w:t>Department</w:t>
      </w:r>
      <w:r w:rsidR="00CF0860">
        <w:t xml:space="preserve"> of Capital </w:t>
      </w:r>
      <w:r w:rsidR="00B36732">
        <w:t xml:space="preserve">Planning and Development in </w:t>
      </w:r>
      <w:r w:rsidR="00CF0860">
        <w:t>the Division of Finance and Administration</w:t>
      </w:r>
      <w:r w:rsidR="00B36732">
        <w:t>. The IWG was</w:t>
      </w:r>
      <w:r w:rsidR="00CF0860">
        <w:t xml:space="preserve"> </w:t>
      </w:r>
      <w:r w:rsidR="009B76CA" w:rsidRPr="00673750">
        <w:t xml:space="preserve">charged with </w:t>
      </w:r>
      <w:r w:rsidR="00CF0860">
        <w:t>two major tasks.</w:t>
      </w:r>
    </w:p>
    <w:p w14:paraId="23673622" w14:textId="0A28C4C9" w:rsidR="002E42D9" w:rsidRDefault="00CF0860" w:rsidP="00673750">
      <w:pPr>
        <w:spacing w:after="240"/>
      </w:pPr>
      <w:r>
        <w:t xml:space="preserve">The first was to develop a clear and transparent process </w:t>
      </w:r>
      <w:r w:rsidR="002E42D9">
        <w:t>to guide capital planning</w:t>
      </w:r>
      <w:r w:rsidR="002E42D9" w:rsidRPr="002E42D9">
        <w:t xml:space="preserve"> </w:t>
      </w:r>
      <w:r w:rsidR="002E42D9">
        <w:t xml:space="preserve">and </w:t>
      </w:r>
      <w:r w:rsidR="002E42D9" w:rsidRPr="00323632">
        <w:t>recommend projects to University leadership for consideration by the Board of Trustees.</w:t>
      </w:r>
      <w:r w:rsidR="002E42D9">
        <w:t xml:space="preserve"> </w:t>
      </w:r>
      <w:r>
        <w:t>Central to the process are an annual planning cycle that assembles needs from across the campus and a set of criteria by which proposed capital projects</w:t>
      </w:r>
      <w:r w:rsidR="00B36732">
        <w:t xml:space="preserve"> are </w:t>
      </w:r>
      <w:r>
        <w:t xml:space="preserve">prioritized. The criteria fall into the following categories: life safety concerns; operational needs; facility condition; accessibility; space utilization; impacts on finance, scholarship, research, and outreach; impacts on student and employee success; impacts on university reputation; and </w:t>
      </w:r>
      <w:r w:rsidR="00DB7C23">
        <w:t xml:space="preserve">potential to </w:t>
      </w:r>
      <w:r>
        <w:t xml:space="preserve">leverage other sources of funding. </w:t>
      </w:r>
    </w:p>
    <w:p w14:paraId="1FB266C8" w14:textId="3D6F5FA1" w:rsidR="009A081C" w:rsidRDefault="002E42D9" w:rsidP="00673750">
      <w:pPr>
        <w:spacing w:after="240"/>
      </w:pPr>
      <w:r>
        <w:t>The second task of the IWG was to apply the process</w:t>
      </w:r>
      <w:r w:rsidR="00B36732">
        <w:t xml:space="preserve"> to the development of a </w:t>
      </w:r>
      <w:r w:rsidR="009B76CA" w:rsidRPr="00673750">
        <w:t xml:space="preserve">10-year capital </w:t>
      </w:r>
      <w:r w:rsidRPr="00673750">
        <w:t xml:space="preserve">forecast. </w:t>
      </w:r>
      <w:r>
        <w:t xml:space="preserve">The forecast, the first </w:t>
      </w:r>
      <w:r w:rsidR="00B36732">
        <w:t>version</w:t>
      </w:r>
      <w:r>
        <w:t xml:space="preserve"> of which was </w:t>
      </w:r>
      <w:r w:rsidR="00AD4CCE">
        <w:t>approved by</w:t>
      </w:r>
      <w:r>
        <w:t xml:space="preserve"> the Board of Trustees in January 2017, lays out anticipated capital investments over the next decade based on current needs, priorities and resources.</w:t>
      </w:r>
      <w:r w:rsidR="00BE1BF3">
        <w:t xml:space="preserve"> </w:t>
      </w:r>
      <w:r w:rsidR="00B36732">
        <w:t>B</w:t>
      </w:r>
      <w:r w:rsidR="00BE1BF3">
        <w:t xml:space="preserve">ecause needs, priorities and resources are constantly changing, both in response to unanticipated maintenance demands and opportunities arising from fundraising and other sources, the </w:t>
      </w:r>
      <w:r w:rsidR="00B36732">
        <w:t>capital forecast is a working document that the IWG will update</w:t>
      </w:r>
      <w:r w:rsidR="00BE1BF3">
        <w:t xml:space="preserve"> annually</w:t>
      </w:r>
      <w:r w:rsidR="00DF7F87">
        <w:t>, seeking Board approval every two years.</w:t>
      </w:r>
      <w:r w:rsidR="00BE1BF3">
        <w:t xml:space="preserve"> </w:t>
      </w:r>
    </w:p>
    <w:p w14:paraId="06292619" w14:textId="519B4440" w:rsidR="00995E70" w:rsidRDefault="00B36732" w:rsidP="00673750">
      <w:pPr>
        <w:spacing w:after="240"/>
      </w:pPr>
      <w:r>
        <w:t xml:space="preserve">In addition to </w:t>
      </w:r>
      <w:r w:rsidR="00BE1BF3">
        <w:t>more systematic and transparent capital planning</w:t>
      </w:r>
      <w:r w:rsidR="00A122E1">
        <w:t>, t</w:t>
      </w:r>
      <w:r w:rsidR="007D6915">
        <w:t>he university</w:t>
      </w:r>
      <w:r w:rsidR="001301D4">
        <w:t xml:space="preserve"> is employing</w:t>
      </w:r>
      <w:r w:rsidR="005B6DDE">
        <w:t xml:space="preserve"> </w:t>
      </w:r>
      <w:r w:rsidR="00A122E1">
        <w:t xml:space="preserve">four </w:t>
      </w:r>
      <w:r w:rsidR="007D6915">
        <w:t xml:space="preserve">strategies to reduce </w:t>
      </w:r>
      <w:r w:rsidR="00A021C1">
        <w:t>the capital</w:t>
      </w:r>
      <w:r w:rsidR="007D6915">
        <w:t xml:space="preserve"> backlo</w:t>
      </w:r>
      <w:r w:rsidR="00A021C1">
        <w:t>g</w:t>
      </w:r>
      <w:r w:rsidR="00A122E1">
        <w:t>:</w:t>
      </w:r>
    </w:p>
    <w:p w14:paraId="20B299A5" w14:textId="68DC742C" w:rsidR="00261DC9" w:rsidRPr="00673750" w:rsidRDefault="00BE1BF3" w:rsidP="002075B2">
      <w:pPr>
        <w:pStyle w:val="ListParagraph"/>
        <w:numPr>
          <w:ilvl w:val="0"/>
          <w:numId w:val="2"/>
        </w:numPr>
        <w:spacing w:after="240"/>
        <w:contextualSpacing w:val="0"/>
      </w:pPr>
      <w:r w:rsidRPr="002075B2">
        <w:rPr>
          <w:b/>
          <w:i/>
        </w:rPr>
        <w:t xml:space="preserve">Create an annual funding source of </w:t>
      </w:r>
      <w:r w:rsidR="00EF5D41">
        <w:rPr>
          <w:b/>
          <w:i/>
        </w:rPr>
        <w:t>$4</w:t>
      </w:r>
      <w:r w:rsidR="00271D15">
        <w:rPr>
          <w:b/>
          <w:i/>
        </w:rPr>
        <w:t>5</w:t>
      </w:r>
      <w:r w:rsidRPr="002075B2">
        <w:rPr>
          <w:b/>
          <w:i/>
        </w:rPr>
        <w:t xml:space="preserve"> million to address building repair and renewal needs. </w:t>
      </w:r>
      <w:r w:rsidR="00E07788" w:rsidRPr="002075B2">
        <w:t xml:space="preserve">Beginning with the </w:t>
      </w:r>
      <w:r w:rsidR="00E07788" w:rsidRPr="00E07788">
        <w:t>FY</w:t>
      </w:r>
      <w:r w:rsidR="00E07788" w:rsidRPr="00673750">
        <w:t>18 operating budget</w:t>
      </w:r>
      <w:r w:rsidR="00E07788">
        <w:t>, we will</w:t>
      </w:r>
      <w:r w:rsidRPr="002075B2">
        <w:t xml:space="preserve"> increa</w:t>
      </w:r>
      <w:r w:rsidR="00E07788">
        <w:t>se</w:t>
      </w:r>
      <w:r w:rsidR="00A021C1" w:rsidRPr="002075B2">
        <w:t xml:space="preserve"> the </w:t>
      </w:r>
      <w:r w:rsidRPr="002075B2">
        <w:t>E&amp;G funding committed</w:t>
      </w:r>
      <w:r w:rsidR="00A021C1" w:rsidRPr="002075B2">
        <w:t xml:space="preserve"> to capital improvement and renewal </w:t>
      </w:r>
      <w:r w:rsidRPr="002075B2">
        <w:t xml:space="preserve">by $5 million </w:t>
      </w:r>
      <w:r w:rsidR="00673750">
        <w:t xml:space="preserve">in each of </w:t>
      </w:r>
      <w:r w:rsidR="00A021C1" w:rsidRPr="002075B2">
        <w:t xml:space="preserve">the next nine years. </w:t>
      </w:r>
      <w:r w:rsidR="00E07788">
        <w:t>This annual allocation is critical because state capital improvement and renewal commitments are not keeping pace with our needs.</w:t>
      </w:r>
    </w:p>
    <w:p w14:paraId="224EEC6C" w14:textId="4739BF31" w:rsidR="00261DC9" w:rsidRDefault="00261DC9" w:rsidP="002075B2">
      <w:pPr>
        <w:pStyle w:val="ListParagraph"/>
        <w:numPr>
          <w:ilvl w:val="0"/>
          <w:numId w:val="1"/>
        </w:numPr>
        <w:spacing w:after="240"/>
        <w:contextualSpacing w:val="0"/>
      </w:pPr>
      <w:r>
        <w:rPr>
          <w:b/>
          <w:i/>
        </w:rPr>
        <w:lastRenderedPageBreak/>
        <w:t>Establish a stewardship fund as part of all new capital projects</w:t>
      </w:r>
      <w:r w:rsidR="00BE1BF3">
        <w:rPr>
          <w:b/>
          <w:i/>
        </w:rPr>
        <w:t>.</w:t>
      </w:r>
      <w:r>
        <w:rPr>
          <w:b/>
          <w:i/>
        </w:rPr>
        <w:t xml:space="preserve"> </w:t>
      </w:r>
      <w:r>
        <w:t>Going forward, budgets for</w:t>
      </w:r>
      <w:r w:rsidR="00BE1BF3">
        <w:t xml:space="preserve"> all major capital projects must</w:t>
      </w:r>
      <w:r>
        <w:t xml:space="preserve"> include a 10</w:t>
      </w:r>
      <w:r w:rsidR="00BE1BF3">
        <w:t xml:space="preserve"> percent</w:t>
      </w:r>
      <w:r>
        <w:t xml:space="preserve"> allocation to a facility stewardship fund that will partially support the replacement of major building systems and avoid the accumulation of deferred maintenance.</w:t>
      </w:r>
    </w:p>
    <w:p w14:paraId="7D1E86CF" w14:textId="4C96271D" w:rsidR="00A021C1" w:rsidRPr="002075B2" w:rsidRDefault="00B3693A" w:rsidP="002075B2">
      <w:pPr>
        <w:pStyle w:val="ListParagraph"/>
        <w:numPr>
          <w:ilvl w:val="0"/>
          <w:numId w:val="1"/>
        </w:numPr>
        <w:spacing w:after="240"/>
        <w:contextualSpacing w:val="0"/>
      </w:pPr>
      <w:r>
        <w:rPr>
          <w:b/>
          <w:i/>
        </w:rPr>
        <w:t>Prioritize renovation over new construction</w:t>
      </w:r>
      <w:r w:rsidR="00E07788" w:rsidRPr="002075B2">
        <w:rPr>
          <w:b/>
          <w:i/>
        </w:rPr>
        <w:t>, with a particular focus on research facilities</w:t>
      </w:r>
      <w:r w:rsidR="00261DC9" w:rsidRPr="002075B2">
        <w:rPr>
          <w:b/>
          <w:i/>
        </w:rPr>
        <w:t xml:space="preserve">. </w:t>
      </w:r>
      <w:r w:rsidR="00E07788">
        <w:t xml:space="preserve">Over the last decade, we </w:t>
      </w:r>
      <w:r>
        <w:t xml:space="preserve">have added many new buildings while also making </w:t>
      </w:r>
      <w:r w:rsidR="00E07788">
        <w:t>considerable progres</w:t>
      </w:r>
      <w:r w:rsidR="00B36732">
        <w:t>s on</w:t>
      </w:r>
      <w:r w:rsidR="00E07788">
        <w:t xml:space="preserve"> impr</w:t>
      </w:r>
      <w:r>
        <w:t>oving our instructional spaces</w:t>
      </w:r>
      <w:r w:rsidR="00E07788">
        <w:t xml:space="preserve">. </w:t>
      </w:r>
      <w:r w:rsidR="00261DC9">
        <w:t xml:space="preserve">The </w:t>
      </w:r>
      <w:r w:rsidR="00BE1BF3">
        <w:t xml:space="preserve">current </w:t>
      </w:r>
      <w:r w:rsidR="00261DC9">
        <w:t>10-year capital</w:t>
      </w:r>
      <w:r w:rsidR="00BE1BF3">
        <w:t xml:space="preserve"> forecast</w:t>
      </w:r>
      <w:r w:rsidR="00261DC9">
        <w:t xml:space="preserve"> includes 10 major building renovations</w:t>
      </w:r>
      <w:r w:rsidR="00BE1BF3">
        <w:t>, with a focus on research facilities</w:t>
      </w:r>
      <w:r>
        <w:t xml:space="preserve"> with serious maintenance and upgrade needs</w:t>
      </w:r>
      <w:r w:rsidR="00261DC9">
        <w:t xml:space="preserve">. </w:t>
      </w:r>
      <w:r w:rsidR="00DD5BC4">
        <w:t xml:space="preserve">The 2017 legislature approved $29 million in state-paid bonds for renovations to </w:t>
      </w:r>
      <w:proofErr w:type="spellStart"/>
      <w:r w:rsidR="00DD5BC4">
        <w:t>Cordley</w:t>
      </w:r>
      <w:proofErr w:type="spellEnd"/>
      <w:r w:rsidR="00DD5BC4">
        <w:t xml:space="preserve"> Hall, Fairbanks Hall and </w:t>
      </w:r>
      <w:proofErr w:type="spellStart"/>
      <w:r w:rsidR="00DD5BC4">
        <w:t>Gilkey</w:t>
      </w:r>
      <w:proofErr w:type="spellEnd"/>
      <w:r w:rsidR="00DD5BC4">
        <w:t xml:space="preserve"> Hall.</w:t>
      </w:r>
      <w:r w:rsidR="00DD002E">
        <w:t xml:space="preserve"> </w:t>
      </w:r>
      <w:r w:rsidR="00261DC9">
        <w:t>Executing these projects</w:t>
      </w:r>
      <w:r w:rsidR="00DD5BC4">
        <w:t xml:space="preserve"> and the other projects on the 10-year capital forecast</w:t>
      </w:r>
      <w:r w:rsidR="00261DC9">
        <w:t xml:space="preserve"> will remove approximately $160 million of the deferred maintenance </w:t>
      </w:r>
      <w:r w:rsidR="00673750">
        <w:t xml:space="preserve">backlog, </w:t>
      </w:r>
      <w:r w:rsidR="00261DC9">
        <w:t>provide enhanced accessibility and life safety in many campus buildings</w:t>
      </w:r>
      <w:r w:rsidR="00673750">
        <w:t>, and better support our research mission.</w:t>
      </w:r>
    </w:p>
    <w:p w14:paraId="73A747F9" w14:textId="61605E0E" w:rsidR="00C75C6D" w:rsidRDefault="00A021C1" w:rsidP="001711A8">
      <w:pPr>
        <w:pStyle w:val="ListParagraph"/>
        <w:numPr>
          <w:ilvl w:val="0"/>
          <w:numId w:val="2"/>
        </w:numPr>
        <w:spacing w:after="240"/>
        <w:contextualSpacing w:val="0"/>
      </w:pPr>
      <w:r>
        <w:rPr>
          <w:b/>
          <w:i/>
        </w:rPr>
        <w:t>Continue to a</w:t>
      </w:r>
      <w:r w:rsidR="00316BAC">
        <w:rPr>
          <w:b/>
          <w:i/>
        </w:rPr>
        <w:t xml:space="preserve">ctively pursue </w:t>
      </w:r>
      <w:r w:rsidR="001B134A">
        <w:rPr>
          <w:b/>
          <w:i/>
        </w:rPr>
        <w:t>s</w:t>
      </w:r>
      <w:r w:rsidR="001B134A" w:rsidRPr="00995E70">
        <w:rPr>
          <w:b/>
          <w:i/>
        </w:rPr>
        <w:t xml:space="preserve">tate </w:t>
      </w:r>
      <w:r w:rsidR="001650B6" w:rsidRPr="00995E70">
        <w:rPr>
          <w:b/>
          <w:i/>
        </w:rPr>
        <w:t xml:space="preserve">bond funding for </w:t>
      </w:r>
      <w:r w:rsidR="00A122E1">
        <w:rPr>
          <w:b/>
          <w:i/>
        </w:rPr>
        <w:t>c</w:t>
      </w:r>
      <w:r w:rsidR="001650B6" w:rsidRPr="00995E70">
        <w:rPr>
          <w:b/>
          <w:i/>
        </w:rPr>
        <w:t xml:space="preserve">apital </w:t>
      </w:r>
      <w:r w:rsidR="00A122E1">
        <w:rPr>
          <w:b/>
          <w:i/>
        </w:rPr>
        <w:t>i</w:t>
      </w:r>
      <w:r w:rsidR="001650B6" w:rsidRPr="00995E70">
        <w:rPr>
          <w:b/>
          <w:i/>
        </w:rPr>
        <w:t xml:space="preserve">mprovement and </w:t>
      </w:r>
      <w:r w:rsidR="00A122E1">
        <w:rPr>
          <w:b/>
          <w:i/>
        </w:rPr>
        <w:t>r</w:t>
      </w:r>
      <w:r w:rsidR="001650B6" w:rsidRPr="00995E70">
        <w:rPr>
          <w:b/>
          <w:i/>
        </w:rPr>
        <w:t>enewa</w:t>
      </w:r>
      <w:r>
        <w:rPr>
          <w:b/>
          <w:i/>
        </w:rPr>
        <w:t xml:space="preserve">l. </w:t>
      </w:r>
      <w:r w:rsidR="00995E70">
        <w:t xml:space="preserve">State bonds </w:t>
      </w:r>
      <w:r w:rsidR="00673750">
        <w:t xml:space="preserve">have been the primary source of funds for </w:t>
      </w:r>
      <w:r w:rsidR="00A122E1">
        <w:t>c</w:t>
      </w:r>
      <w:r w:rsidR="00995E70">
        <w:t xml:space="preserve">apital </w:t>
      </w:r>
      <w:r w:rsidR="00A122E1">
        <w:t>i</w:t>
      </w:r>
      <w:r w:rsidR="00995E70">
        <w:t xml:space="preserve">mprovement and </w:t>
      </w:r>
      <w:r w:rsidR="00A122E1">
        <w:t>r</w:t>
      </w:r>
      <w:r w:rsidR="00D53684">
        <w:t>enewal</w:t>
      </w:r>
      <w:r w:rsidR="00995E70">
        <w:t xml:space="preserve"> in the past</w:t>
      </w:r>
      <w:r w:rsidR="00673750">
        <w:t xml:space="preserve"> and will remain important going forward</w:t>
      </w:r>
      <w:r w:rsidR="00391CD2">
        <w:t>.</w:t>
      </w:r>
      <w:r w:rsidR="00F25B3E">
        <w:t xml:space="preserve"> They include support for specific projects (e.g., as noted above) and general monies for use at our discretion.</w:t>
      </w:r>
      <w:r w:rsidR="00CD45EC">
        <w:t xml:space="preserve"> </w:t>
      </w:r>
      <w:r w:rsidR="00E2424C">
        <w:t>Recent d</w:t>
      </w:r>
      <w:r w:rsidR="00F25B3E">
        <w:t>iscretionary a</w:t>
      </w:r>
      <w:r w:rsidR="00673750">
        <w:t xml:space="preserve">mounts </w:t>
      </w:r>
      <w:r w:rsidR="00DF7F87">
        <w:t>allocated to OSU</w:t>
      </w:r>
      <w:r w:rsidR="00673750">
        <w:t xml:space="preserve"> include</w:t>
      </w:r>
      <w:r w:rsidR="00A122E1">
        <w:t xml:space="preserve"> </w:t>
      </w:r>
      <w:r w:rsidR="00995E70">
        <w:t>$26</w:t>
      </w:r>
      <w:r w:rsidR="00A122E1">
        <w:t xml:space="preserve"> million </w:t>
      </w:r>
      <w:r w:rsidR="00673750">
        <w:t xml:space="preserve">for the </w:t>
      </w:r>
      <w:r w:rsidR="005D1A0A">
        <w:t>20</w:t>
      </w:r>
      <w:r w:rsidR="00995E70">
        <w:t>15-</w:t>
      </w:r>
      <w:r w:rsidR="00A122E1">
        <w:t>17</w:t>
      </w:r>
      <w:r w:rsidR="00995E70">
        <w:t xml:space="preserve"> biennium</w:t>
      </w:r>
      <w:r w:rsidR="00673750">
        <w:t xml:space="preserve"> and</w:t>
      </w:r>
      <w:r w:rsidR="00DF7F87">
        <w:t xml:space="preserve"> an estimated</w:t>
      </w:r>
      <w:r w:rsidR="00673750">
        <w:t xml:space="preserve"> $</w:t>
      </w:r>
      <w:r w:rsidR="00DF7F87">
        <w:t>18</w:t>
      </w:r>
      <w:r w:rsidR="00673750">
        <w:t xml:space="preserve"> million </w:t>
      </w:r>
      <w:r w:rsidR="00E07788">
        <w:t xml:space="preserve">for the </w:t>
      </w:r>
      <w:r w:rsidR="005D1A0A">
        <w:t>20</w:t>
      </w:r>
      <w:r w:rsidR="00995E70">
        <w:t>17-19 biennium</w:t>
      </w:r>
      <w:r w:rsidR="00673750">
        <w:t>.</w:t>
      </w:r>
    </w:p>
    <w:p w14:paraId="4CD41F64" w14:textId="2089FDDA" w:rsidR="000E2D89" w:rsidRDefault="00E07788" w:rsidP="002075B2">
      <w:pPr>
        <w:spacing w:after="240"/>
        <w:rPr>
          <w:b/>
        </w:rPr>
      </w:pPr>
      <w:r>
        <w:t>W</w:t>
      </w:r>
      <w:r w:rsidR="00DC1D7F">
        <w:t xml:space="preserve">e </w:t>
      </w:r>
      <w:r w:rsidR="001B134A">
        <w:t xml:space="preserve">estimate </w:t>
      </w:r>
      <w:r w:rsidR="00B3693A">
        <w:t xml:space="preserve">conservatively </w:t>
      </w:r>
      <w:r>
        <w:t xml:space="preserve">that by </w:t>
      </w:r>
      <w:r w:rsidR="00B36732">
        <w:t>implementing these strategies our</w:t>
      </w:r>
      <w:r>
        <w:t xml:space="preserve"> existing deferred maintenance </w:t>
      </w:r>
      <w:r w:rsidR="00A91A4A">
        <w:t>backlog</w:t>
      </w:r>
      <w:r>
        <w:t xml:space="preserve"> </w:t>
      </w:r>
      <w:r w:rsidR="00404A8F">
        <w:t xml:space="preserve">will be reduced </w:t>
      </w:r>
      <w:r w:rsidR="00E2424C">
        <w:t xml:space="preserve">by $400 million </w:t>
      </w:r>
      <w:r>
        <w:t>over the next 10 years</w:t>
      </w:r>
      <w:r w:rsidR="00B36732">
        <w:t xml:space="preserve">. </w:t>
      </w:r>
      <w:r w:rsidR="00E40060">
        <w:t>While there are always competing needs for resources, we believe that OSU faculty, staff and students are best served by the University having a sustainable plan to ensure that buildings and infrastructure are safe, operational and functional.</w:t>
      </w:r>
    </w:p>
    <w:p w14:paraId="5E8547D1" w14:textId="131D163F" w:rsidR="00991402" w:rsidRDefault="001E715A" w:rsidP="002075B2">
      <w:pPr>
        <w:spacing w:after="240"/>
      </w:pPr>
      <w:r>
        <w:t>The Capital Planning and Development (CPD) department and t</w:t>
      </w:r>
      <w:r w:rsidR="00B3693A">
        <w:t xml:space="preserve">he </w:t>
      </w:r>
      <w:r>
        <w:t xml:space="preserve">Infrastructure Working Group have </w:t>
      </w:r>
      <w:r w:rsidR="00B3693A">
        <w:t>initiate</w:t>
      </w:r>
      <w:r>
        <w:t>d</w:t>
      </w:r>
      <w:r w:rsidR="00B3693A">
        <w:t xml:space="preserve"> the next annual capital </w:t>
      </w:r>
      <w:r>
        <w:t xml:space="preserve">forecast </w:t>
      </w:r>
      <w:r w:rsidR="00B3693A">
        <w:t xml:space="preserve">planning cycle, with the intent of presenting a revised </w:t>
      </w:r>
      <w:r>
        <w:t xml:space="preserve">10 year </w:t>
      </w:r>
      <w:r w:rsidR="00B3693A">
        <w:t>capital forecast to the Board of Trustees in January 2018.</w:t>
      </w:r>
      <w:r w:rsidR="000E2D89">
        <w:t xml:space="preserve"> </w:t>
      </w:r>
      <w:r>
        <w:t>CPD staff will have completed meetings to discuss space and capital needs with Deans and Unit leaders by the beginning of November. I</w:t>
      </w:r>
      <w:r w:rsidR="00B3693A">
        <w:t xml:space="preserve">nformation on the </w:t>
      </w:r>
      <w:r>
        <w:t xml:space="preserve">current </w:t>
      </w:r>
      <w:r w:rsidR="00B3693A">
        <w:t xml:space="preserve">forecast and status of various projects </w:t>
      </w:r>
      <w:r>
        <w:t>are</w:t>
      </w:r>
      <w:r w:rsidR="00B3693A">
        <w:t xml:space="preserve"> available </w:t>
      </w:r>
      <w:r w:rsidR="00404A8F">
        <w:t>from</w:t>
      </w:r>
      <w:r w:rsidR="00B3693A">
        <w:t xml:space="preserve"> </w:t>
      </w:r>
      <w:r w:rsidR="000E2D89">
        <w:t>Capital Planning and Development.</w:t>
      </w:r>
      <w:r w:rsidR="000B42ED">
        <w:t xml:space="preserve"> </w:t>
      </w:r>
    </w:p>
    <w:p w14:paraId="2690FF35" w14:textId="75918AFF" w:rsidR="00E81ED4" w:rsidRDefault="000E62F3" w:rsidP="002075B2">
      <w:pPr>
        <w:spacing w:after="240"/>
      </w:pPr>
      <w:r>
        <w:t>If you have questions</w:t>
      </w:r>
      <w:r w:rsidR="00991402">
        <w:t xml:space="preserve">, please contact Anita </w:t>
      </w:r>
      <w:r w:rsidR="001E715A">
        <w:t xml:space="preserve">Nina </w:t>
      </w:r>
      <w:r w:rsidR="00991402">
        <w:t>Azarenko (</w:t>
      </w:r>
      <w:hyperlink r:id="rId7" w:history="1">
        <w:r w:rsidR="00991402" w:rsidRPr="001C514C">
          <w:rPr>
            <w:rStyle w:val="Hyperlink"/>
          </w:rPr>
          <w:t>anita.azarenko@oregonstate.edu</w:t>
        </w:r>
      </w:hyperlink>
      <w:r>
        <w:t>),</w:t>
      </w:r>
      <w:r w:rsidR="00991402">
        <w:t xml:space="preserve"> Associate Vice President for University </w:t>
      </w:r>
      <w:r w:rsidR="001E715A">
        <w:t xml:space="preserve">Facilities </w:t>
      </w:r>
      <w:r w:rsidR="00991402">
        <w:t>Infrastructure and Operations (formerly Capital Planning and Facilities Services).</w:t>
      </w:r>
    </w:p>
    <w:p w14:paraId="17F62448" w14:textId="4F9C9A4C" w:rsidR="00E81ED4" w:rsidRDefault="00E81ED4" w:rsidP="002075B2">
      <w:pPr>
        <w:spacing w:after="240"/>
      </w:pPr>
      <w:r>
        <w:t>Sincerely,</w:t>
      </w:r>
    </w:p>
    <w:p w14:paraId="58DA9989" w14:textId="79FE4563" w:rsidR="00E81ED4" w:rsidRDefault="00B3693A" w:rsidP="002075B2">
      <w:pPr>
        <w:tabs>
          <w:tab w:val="left" w:pos="4320"/>
          <w:tab w:val="left" w:pos="4770"/>
        </w:tabs>
      </w:pPr>
      <w:r>
        <w:t>Edward Feser</w:t>
      </w:r>
      <w:r>
        <w:tab/>
        <w:t>Michael Green</w:t>
      </w:r>
    </w:p>
    <w:p w14:paraId="54C2EE70" w14:textId="5089DF6C" w:rsidR="000E2D89" w:rsidRDefault="00B3693A" w:rsidP="002075B2">
      <w:pPr>
        <w:tabs>
          <w:tab w:val="left" w:pos="4320"/>
        </w:tabs>
      </w:pPr>
      <w:r>
        <w:t>Provost and Executive Vice President</w:t>
      </w:r>
      <w:r>
        <w:tab/>
      </w:r>
      <w:r w:rsidR="00B36732">
        <w:t>Vice President of Finance and Administration</w:t>
      </w:r>
    </w:p>
    <w:sectPr w:rsidR="000E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46C3"/>
    <w:multiLevelType w:val="hybridMultilevel"/>
    <w:tmpl w:val="55EA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77332"/>
    <w:multiLevelType w:val="hybridMultilevel"/>
    <w:tmpl w:val="337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6F"/>
    <w:rsid w:val="0004574A"/>
    <w:rsid w:val="000529F2"/>
    <w:rsid w:val="000837C7"/>
    <w:rsid w:val="000B1C6C"/>
    <w:rsid w:val="000B42ED"/>
    <w:rsid w:val="000E2D89"/>
    <w:rsid w:val="000E62F3"/>
    <w:rsid w:val="001301D4"/>
    <w:rsid w:val="00151A33"/>
    <w:rsid w:val="001650B6"/>
    <w:rsid w:val="001711A8"/>
    <w:rsid w:val="001B134A"/>
    <w:rsid w:val="001E715A"/>
    <w:rsid w:val="001F1733"/>
    <w:rsid w:val="002075B2"/>
    <w:rsid w:val="0022649D"/>
    <w:rsid w:val="00261DC9"/>
    <w:rsid w:val="00271D15"/>
    <w:rsid w:val="00292863"/>
    <w:rsid w:val="002B1262"/>
    <w:rsid w:val="002D6472"/>
    <w:rsid w:val="002E1084"/>
    <w:rsid w:val="002E42D9"/>
    <w:rsid w:val="00316BAC"/>
    <w:rsid w:val="00391CD2"/>
    <w:rsid w:val="00404A8F"/>
    <w:rsid w:val="00434E9A"/>
    <w:rsid w:val="00453B83"/>
    <w:rsid w:val="00457225"/>
    <w:rsid w:val="00473BD9"/>
    <w:rsid w:val="00486C02"/>
    <w:rsid w:val="00523301"/>
    <w:rsid w:val="005337A3"/>
    <w:rsid w:val="0053650C"/>
    <w:rsid w:val="00551B0D"/>
    <w:rsid w:val="005B6DDE"/>
    <w:rsid w:val="005D1A0A"/>
    <w:rsid w:val="005E7E6F"/>
    <w:rsid w:val="00673750"/>
    <w:rsid w:val="006D520B"/>
    <w:rsid w:val="007979B7"/>
    <w:rsid w:val="007C1264"/>
    <w:rsid w:val="007D6915"/>
    <w:rsid w:val="00973EA2"/>
    <w:rsid w:val="00991402"/>
    <w:rsid w:val="00995E70"/>
    <w:rsid w:val="009A081C"/>
    <w:rsid w:val="009B76CA"/>
    <w:rsid w:val="00A021C1"/>
    <w:rsid w:val="00A122E1"/>
    <w:rsid w:val="00A136F7"/>
    <w:rsid w:val="00A80549"/>
    <w:rsid w:val="00A91A4A"/>
    <w:rsid w:val="00AC5B5C"/>
    <w:rsid w:val="00AD4CCE"/>
    <w:rsid w:val="00AD6FF1"/>
    <w:rsid w:val="00AD7932"/>
    <w:rsid w:val="00B36732"/>
    <w:rsid w:val="00B3693A"/>
    <w:rsid w:val="00B86DF1"/>
    <w:rsid w:val="00BC1F10"/>
    <w:rsid w:val="00BE1BF3"/>
    <w:rsid w:val="00C75C6D"/>
    <w:rsid w:val="00CD45EC"/>
    <w:rsid w:val="00CF0860"/>
    <w:rsid w:val="00D53684"/>
    <w:rsid w:val="00D926C9"/>
    <w:rsid w:val="00DB7C23"/>
    <w:rsid w:val="00DC1D7F"/>
    <w:rsid w:val="00DD002E"/>
    <w:rsid w:val="00DD5BC4"/>
    <w:rsid w:val="00DF7F87"/>
    <w:rsid w:val="00E07788"/>
    <w:rsid w:val="00E07FA9"/>
    <w:rsid w:val="00E10BE8"/>
    <w:rsid w:val="00E23971"/>
    <w:rsid w:val="00E23E0F"/>
    <w:rsid w:val="00E2424C"/>
    <w:rsid w:val="00E24421"/>
    <w:rsid w:val="00E40060"/>
    <w:rsid w:val="00E81ED4"/>
    <w:rsid w:val="00EA5286"/>
    <w:rsid w:val="00EF5D41"/>
    <w:rsid w:val="00F04F43"/>
    <w:rsid w:val="00F12E59"/>
    <w:rsid w:val="00F2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488CF"/>
  <w15:chartTrackingRefBased/>
  <w15:docId w15:val="{AE5DE540-4798-4C61-A788-8F98AA5B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E6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6B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16BA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BAC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B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BAC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1C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CD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7375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ta.azarenko@oregon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9DCEE-39F6-4453-B2B6-E181F821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Azarenko, Anita Nina</dc:creator>
  <cp:keywords/>
  <dc:description/>
  <cp:lastModifiedBy>McDaniel, Andrea J</cp:lastModifiedBy>
  <cp:revision>3</cp:revision>
  <cp:lastPrinted>2017-07-03T18:44:00Z</cp:lastPrinted>
  <dcterms:created xsi:type="dcterms:W3CDTF">2019-04-26T22:44:00Z</dcterms:created>
  <dcterms:modified xsi:type="dcterms:W3CDTF">2019-04-27T00:25:00Z</dcterms:modified>
</cp:coreProperties>
</file>